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E" w:rsidRDefault="00E36F58" w:rsidP="00607E79">
      <w:pPr>
        <w:spacing w:line="360" w:lineRule="auto"/>
        <w:jc w:val="center"/>
        <w:rPr>
          <w:b/>
          <w:color w:val="000000"/>
          <w:sz w:val="32"/>
          <w:szCs w:val="32"/>
          <w:lang w:val="ru-RU"/>
        </w:rPr>
      </w:pPr>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1.3pt;margin-top:-53.7pt;width:601.5pt;height:835.5pt;z-index:-251656192;mso-position-horizontal-relative:text;mso-position-vertical-relative:text">
            <v:imagedata r:id="rId6" o:title=""/>
          </v:shape>
          <o:OLEObject Type="Embed" ProgID="FoxitPhantomPDF.Document" ShapeID="_x0000_s1027" DrawAspect="Content" ObjectID="_1693045855" r:id="rId7"/>
        </w:pict>
      </w:r>
    </w:p>
    <w:p w:rsidR="00A34670" w:rsidRDefault="00A34670" w:rsidP="00F74C30">
      <w:pPr>
        <w:spacing w:line="360" w:lineRule="auto"/>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E36F58" w:rsidRDefault="00E36F58" w:rsidP="000F47AA">
      <w:pPr>
        <w:spacing w:line="360" w:lineRule="auto"/>
        <w:jc w:val="center"/>
        <w:rPr>
          <w:b/>
          <w:color w:val="000000"/>
          <w:sz w:val="28"/>
          <w:szCs w:val="28"/>
          <w:lang w:val="ru-RU"/>
        </w:rPr>
      </w:pPr>
    </w:p>
    <w:p w:rsidR="00607E79" w:rsidRDefault="00607E79" w:rsidP="000F47AA">
      <w:pPr>
        <w:spacing w:line="360" w:lineRule="auto"/>
        <w:jc w:val="center"/>
        <w:rPr>
          <w:b/>
          <w:color w:val="000000"/>
          <w:sz w:val="28"/>
          <w:szCs w:val="28"/>
          <w:lang w:val="ru-RU"/>
        </w:rPr>
      </w:pPr>
      <w:r w:rsidRPr="000F47AA">
        <w:rPr>
          <w:b/>
          <w:color w:val="000000"/>
          <w:sz w:val="28"/>
          <w:szCs w:val="28"/>
          <w:lang w:val="ru-RU"/>
        </w:rPr>
        <w:t>Пояснительная записка</w:t>
      </w:r>
    </w:p>
    <w:p w:rsidR="00607E79" w:rsidRPr="000F47AA" w:rsidRDefault="00607E79" w:rsidP="00F74C30">
      <w:pPr>
        <w:spacing w:line="360" w:lineRule="auto"/>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 познавательной, </w:t>
      </w:r>
      <w:proofErr w:type="spellStart"/>
      <w:r w:rsidRPr="000F47AA">
        <w:rPr>
          <w:color w:val="000000"/>
          <w:sz w:val="28"/>
          <w:szCs w:val="28"/>
          <w:lang w:val="ru-RU"/>
        </w:rPr>
        <w:t>саморегуляции</w:t>
      </w:r>
      <w:proofErr w:type="spellEnd"/>
      <w:r w:rsidRPr="000F47AA">
        <w:rPr>
          <w:color w:val="000000"/>
          <w:sz w:val="28"/>
          <w:szCs w:val="28"/>
          <w:lang w:val="ru-RU"/>
        </w:rPr>
        <w:t>)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основного общего образования представленной в Федеральном </w:t>
      </w:r>
      <w:r w:rsidRPr="000F47AA">
        <w:rPr>
          <w:color w:val="000000"/>
          <w:sz w:val="28"/>
          <w:szCs w:val="28"/>
          <w:lang w:val="ru-RU"/>
        </w:rPr>
        <w:lastRenderedPageBreak/>
        <w:t xml:space="preserve">государственном образовательном стандарте начального общего 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607E79" w:rsidP="000F47AA">
      <w:pPr>
        <w:spacing w:line="360" w:lineRule="auto"/>
        <w:ind w:firstLine="540"/>
        <w:jc w:val="both"/>
        <w:rPr>
          <w:color w:val="000000"/>
          <w:sz w:val="28"/>
          <w:szCs w:val="28"/>
          <w:lang w:val="ru-RU"/>
        </w:rPr>
      </w:pPr>
      <w:proofErr w:type="spellStart"/>
      <w:r w:rsidRPr="000F47AA">
        <w:rPr>
          <w:color w:val="000000"/>
          <w:sz w:val="28"/>
          <w:szCs w:val="28"/>
          <w:lang w:val="ru-RU"/>
        </w:rPr>
        <w:t>ПриказеМинобрнаукищт</w:t>
      </w:r>
      <w:proofErr w:type="spellEnd"/>
      <w:r w:rsidRPr="000F47AA">
        <w:rPr>
          <w:color w:val="000000"/>
          <w:sz w:val="28"/>
          <w:szCs w:val="28"/>
          <w:lang w:val="ru-RU"/>
        </w:rPr>
        <w:t xml:space="preserve"> 30 августа 2010г. №889.</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развитие интереса к самостоятельным занятиям физическими 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активно включаться в коллективную деятельность, 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умения доносить информацию в доступной, эмоционально-яркой форме в процессе общения и взаимодействия со сверстниками и взрослыми 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планировать собственную деятельность, распределять нагрузку и </w:t>
      </w:r>
      <w:r w:rsidRPr="000F47AA">
        <w:rPr>
          <w:color w:val="000000"/>
          <w:sz w:val="28"/>
          <w:szCs w:val="28"/>
          <w:lang w:val="ru-RU"/>
        </w:rPr>
        <w:lastRenderedPageBreak/>
        <w:t>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анализировать и объективно оценивать результаты собственного 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освоения учащимися содержания программы 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организовывать места занятий физическими упражнениями и подвижными играми (как в помещении, так и на открытом воздухе), </w:t>
      </w:r>
      <w:r w:rsidRPr="000F47AA">
        <w:rPr>
          <w:sz w:val="28"/>
          <w:szCs w:val="28"/>
          <w:lang w:val="ru-RU"/>
        </w:rPr>
        <w:lastRenderedPageBreak/>
        <w:t>соблюдать правила поведения и предупреждения травматизма во 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Выпускникполучитвозможностьнаучиться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lastRenderedPageBreak/>
        <w:t>целенаправленно отбирать физические упражнения для 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lastRenderedPageBreak/>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Видпрограммногоматериала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w:t>
      </w:r>
      <w:r w:rsidRPr="000F47AA">
        <w:rPr>
          <w:color w:val="000000"/>
          <w:sz w:val="28"/>
          <w:szCs w:val="28"/>
          <w:lang w:val="ru-RU"/>
        </w:rPr>
        <w:lastRenderedPageBreak/>
        <w:t>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 xml:space="preserve">Из истории физической культуры. </w:t>
      </w:r>
      <w:r w:rsidRPr="000F47AA">
        <w:rPr>
          <w:color w:val="000000"/>
          <w:sz w:val="28"/>
          <w:szCs w:val="28"/>
          <w:lang w:val="ru-RU"/>
        </w:rPr>
        <w:t>История развития физической 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Организация и проведение 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lastRenderedPageBreak/>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proofErr w:type="gramStart"/>
      <w:r w:rsidRPr="000F47AA">
        <w:rPr>
          <w:b/>
          <w:i/>
          <w:iCs/>
          <w:color w:val="3A3A3A"/>
          <w:spacing w:val="1"/>
          <w:sz w:val="28"/>
          <w:szCs w:val="28"/>
          <w:lang w:val="ru-RU"/>
        </w:rPr>
        <w:t>:</w:t>
      </w:r>
      <w:r w:rsidRPr="000F47AA">
        <w:rPr>
          <w:color w:val="3A3A3A"/>
          <w:spacing w:val="1"/>
          <w:sz w:val="28"/>
          <w:szCs w:val="28"/>
          <w:lang w:val="ru-RU"/>
        </w:rPr>
        <w:t>п</w:t>
      </w:r>
      <w:proofErr w:type="gramEnd"/>
      <w:r w:rsidRPr="000F47AA">
        <w:rPr>
          <w:color w:val="3A3A3A"/>
          <w:spacing w:val="1"/>
          <w:sz w:val="28"/>
          <w:szCs w:val="28"/>
          <w:lang w:val="ru-RU"/>
        </w:rPr>
        <w:t xml:space="preserve">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 ;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Упражнения на низкой гимнастической перекладине:</w:t>
      </w:r>
      <w:r w:rsidR="00D16059"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запрыгивание на гимнастического козла с гимнастического 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переползание по-пластунски; преодоление полосы препятствий с элементами лазанья, поочерёдно перемахом правой и левой ногой, переползания; танце</w:t>
      </w:r>
      <w:r w:rsidRPr="000F47AA">
        <w:rPr>
          <w:color w:val="373737"/>
          <w:sz w:val="28"/>
          <w:szCs w:val="28"/>
          <w:lang w:val="ru-RU"/>
        </w:rPr>
        <w:t xml:space="preserve">вальные упражнения (стилизованные шаги польки); хождение по наклонной </w:t>
      </w:r>
      <w:r w:rsidRPr="000F47AA">
        <w:rPr>
          <w:color w:val="373737"/>
          <w:sz w:val="28"/>
          <w:szCs w:val="28"/>
          <w:lang w:val="ru-RU"/>
        </w:rPr>
        <w:lastRenderedPageBreak/>
        <w:t>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упражнения на низкой перекладине — вис</w:t>
      </w:r>
      <w:r w:rsidRPr="000F47AA">
        <w:rPr>
          <w:color w:val="373737"/>
          <w:spacing w:val="-2"/>
          <w:sz w:val="28"/>
          <w:szCs w:val="28"/>
          <w:lang w:val="ru-RU"/>
        </w:rPr>
        <w:t>стоя 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t>Подвижные игры на материале гимнастики с основами акроба</w:t>
      </w:r>
      <w:r w:rsidRPr="000F47AA">
        <w:rPr>
          <w:b/>
          <w:i/>
          <w:iCs/>
          <w:color w:val="383838"/>
          <w:sz w:val="28"/>
          <w:szCs w:val="28"/>
          <w:lang w:val="ru-RU"/>
        </w:rPr>
        <w:t>тики</w:t>
      </w:r>
      <w:proofErr w:type="gramStart"/>
      <w:r w:rsidRPr="000F47AA">
        <w:rPr>
          <w:b/>
          <w:i/>
          <w:iCs/>
          <w:color w:val="383838"/>
          <w:sz w:val="28"/>
          <w:szCs w:val="28"/>
          <w:lang w:val="ru-RU"/>
        </w:rPr>
        <w:t>:</w:t>
      </w:r>
      <w:r w:rsidRPr="000F47AA">
        <w:rPr>
          <w:color w:val="383838"/>
          <w:sz w:val="28"/>
          <w:szCs w:val="28"/>
          <w:lang w:val="ru-RU"/>
        </w:rPr>
        <w:t>и</w:t>
      </w:r>
      <w:proofErr w:type="gramEnd"/>
      <w:r w:rsidRPr="000F47AA">
        <w:rPr>
          <w:color w:val="383838"/>
          <w:sz w:val="28"/>
          <w:szCs w:val="28"/>
          <w:lang w:val="ru-RU"/>
        </w:rPr>
        <w:t xml:space="preserve">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Start"/>
      <w:r w:rsidRPr="000F47AA">
        <w:rPr>
          <w:color w:val="383838"/>
          <w:spacing w:val="-1"/>
          <w:sz w:val="28"/>
          <w:szCs w:val="28"/>
          <w:lang w:val="ru-RU"/>
        </w:rPr>
        <w:t>:«</w:t>
      </w:r>
      <w:proofErr w:type="gramEnd"/>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гимнастика с 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w:t>
      </w:r>
      <w:r w:rsidRPr="000F47AA">
        <w:rPr>
          <w:bCs/>
          <w:i/>
          <w:color w:val="000000"/>
          <w:sz w:val="28"/>
          <w:szCs w:val="28"/>
          <w:lang w:val="ru-RU"/>
        </w:rPr>
        <w:lastRenderedPageBreak/>
        <w:t>физической подготовленностью, контролировать режимы нагрузок по внешним признакам, самочувствию и показателям 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proofErr w:type="gramStart"/>
      <w:r w:rsidRPr="000F47AA">
        <w:rPr>
          <w:b/>
          <w:i/>
          <w:iCs/>
          <w:color w:val="373737"/>
          <w:spacing w:val="-4"/>
          <w:sz w:val="28"/>
          <w:szCs w:val="28"/>
          <w:lang w:val="ru-RU"/>
        </w:rPr>
        <w:t>:</w:t>
      </w:r>
      <w:r w:rsidRPr="000F47AA">
        <w:rPr>
          <w:color w:val="373737"/>
          <w:spacing w:val="-4"/>
          <w:sz w:val="28"/>
          <w:szCs w:val="28"/>
          <w:lang w:val="ru-RU"/>
        </w:rPr>
        <w:t>б</w:t>
      </w:r>
      <w:proofErr w:type="gramEnd"/>
      <w:r w:rsidRPr="000F47AA">
        <w:rPr>
          <w:color w:val="373737"/>
          <w:spacing w:val="-4"/>
          <w:sz w:val="28"/>
          <w:szCs w:val="28"/>
          <w:lang w:val="ru-RU"/>
        </w:rPr>
        <w:t xml:space="preserve">ольшого мяча (1кг) на дальность двумя руками </w:t>
      </w:r>
      <w:r w:rsidRPr="000F47AA">
        <w:rPr>
          <w:color w:val="373737"/>
          <w:spacing w:val="-6"/>
          <w:sz w:val="28"/>
          <w:szCs w:val="28"/>
          <w:lang w:val="ru-RU"/>
        </w:rPr>
        <w:t>из-за головы, от груди, снизу из положения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«Круговаяохота</w:t>
      </w:r>
      <w:proofErr w:type="gramEnd"/>
      <w:r w:rsidRPr="000F47AA">
        <w:rPr>
          <w:color w:val="383838"/>
          <w:spacing w:val="-1"/>
          <w:sz w:val="28"/>
          <w:szCs w:val="28"/>
          <w:lang w:val="ru-RU"/>
        </w:rPr>
        <w:t xml:space="preserve">»,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
    <w:p w:rsidR="00607E79" w:rsidRPr="000F47AA" w:rsidRDefault="00607E79" w:rsidP="000F47AA">
      <w:pPr>
        <w:pStyle w:val="3"/>
        <w:spacing w:before="0" w:line="360" w:lineRule="auto"/>
        <w:ind w:firstLine="539"/>
        <w:jc w:val="both"/>
        <w:rPr>
          <w:b w:val="0"/>
          <w:szCs w:val="28"/>
        </w:rPr>
      </w:pPr>
      <w:r w:rsidRPr="000F47AA">
        <w:rPr>
          <w:b w:val="0"/>
          <w:szCs w:val="28"/>
        </w:rPr>
        <w:lastRenderedPageBreak/>
        <w:t>Раздел программы  лёгкая атлетика ориентирован на формирование и 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E36F58"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lastRenderedPageBreak/>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xml:space="preserve">», «Мяч капитану», « Играй, играй, мяч не теряй», </w:t>
      </w:r>
      <w:r w:rsidRPr="000F47AA">
        <w:rPr>
          <w:bCs/>
          <w:color w:val="000000"/>
          <w:sz w:val="28"/>
          <w:szCs w:val="28"/>
          <w:lang w:val="ru-RU"/>
        </w:rPr>
        <w:lastRenderedPageBreak/>
        <w:t>«Мяч в корзину»; подвижные  и неподвижные эстафеты с баскетбольными 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E36F58"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E36F58"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E36F58" w:rsidTr="00264875">
        <w:tc>
          <w:tcPr>
            <w:tcW w:w="2448" w:type="dxa"/>
          </w:tcPr>
          <w:p w:rsidR="00607E79" w:rsidRPr="000F47AA" w:rsidRDefault="00607E79" w:rsidP="000F47AA">
            <w:pPr>
              <w:pStyle w:val="3"/>
              <w:spacing w:before="0"/>
              <w:jc w:val="both"/>
              <w:rPr>
                <w:i/>
                <w:sz w:val="24"/>
                <w:szCs w:val="24"/>
              </w:rPr>
            </w:pPr>
            <w:r w:rsidRPr="000F47AA">
              <w:rPr>
                <w:i/>
                <w:sz w:val="24"/>
                <w:szCs w:val="24"/>
              </w:rPr>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E36F58"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lastRenderedPageBreak/>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различных приёмов и элементов 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91"/>
        <w:gridCol w:w="2330"/>
        <w:gridCol w:w="345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Незнаниематериалапрограммы</w:t>
            </w:r>
            <w:proofErr w:type="spellEnd"/>
            <w:r w:rsidRPr="001E602F">
              <w:rPr>
                <w:rFonts w:eastAsia="Calibri"/>
              </w:rPr>
              <w:t>.</w:t>
            </w:r>
          </w:p>
        </w:tc>
      </w:tr>
    </w:tbl>
    <w:p w:rsidR="000F47AA" w:rsidRPr="001E602F" w:rsidRDefault="000F47AA" w:rsidP="000F47AA">
      <w:pPr>
        <w:jc w:val="both"/>
        <w:rPr>
          <w:rFonts w:eastAsia="Calibri"/>
        </w:rPr>
      </w:pP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w:t>
      </w:r>
      <w:r w:rsidRPr="000F47AA">
        <w:rPr>
          <w:rFonts w:eastAsia="Calibri"/>
          <w:sz w:val="28"/>
          <w:szCs w:val="28"/>
          <w:lang w:val="ru-RU"/>
        </w:rPr>
        <w:lastRenderedPageBreak/>
        <w:t xml:space="preserve">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Затожевыполнение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E36F58"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.ч</w:t>
            </w:r>
            <w:proofErr w:type="gramEnd"/>
            <w:r w:rsidRPr="000F47AA">
              <w:rPr>
                <w:rFonts w:eastAsia="Calibri"/>
                <w:lang w:val="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E36F58"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p>
          <w:p w:rsidR="000F47AA" w:rsidRPr="000F47AA" w:rsidRDefault="000F47AA" w:rsidP="000F47AA">
            <w:pPr>
              <w:rPr>
                <w:rFonts w:eastAsia="Calibri"/>
                <w:lang w:val="ru-RU"/>
              </w:rPr>
            </w:pPr>
            <w:r w:rsidRPr="000F47AA">
              <w:rPr>
                <w:rFonts w:eastAsia="Calibri"/>
                <w:lang w:val="ru-RU"/>
              </w:rPr>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w:t>
            </w:r>
            <w:r w:rsidRPr="000F47AA">
              <w:rPr>
                <w:rFonts w:eastAsia="Calibri"/>
                <w:lang w:val="ru-RU"/>
              </w:rPr>
              <w:lastRenderedPageBreak/>
              <w:t>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lastRenderedPageBreak/>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xml:space="preserve">- контролирует ход выполнения </w:t>
            </w:r>
            <w:r w:rsidRPr="000F47AA">
              <w:rPr>
                <w:rFonts w:eastAsia="Calibri"/>
                <w:lang w:val="ru-RU"/>
              </w:rPr>
              <w:lastRenderedPageBreak/>
              <w:t>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lastRenderedPageBreak/>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lastRenderedPageBreak/>
        <w:t xml:space="preserve">4. </w:t>
      </w:r>
      <w:proofErr w:type="spellStart"/>
      <w:r w:rsidRPr="000F47AA">
        <w:rPr>
          <w:rFonts w:eastAsia="Calibri"/>
          <w:b/>
          <w:sz w:val="28"/>
          <w:szCs w:val="28"/>
        </w:rPr>
        <w:t>Уровеньфизическойподготовленностиобучающихся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«2» (5, 4, 3, 2, 1)</w:t>
            </w:r>
          </w:p>
        </w:tc>
      </w:tr>
      <w:tr w:rsidR="000F47AA" w:rsidRPr="00E36F58"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w:t>
      </w:r>
      <w:r w:rsidRPr="0028124C">
        <w:rPr>
          <w:rFonts w:eastAsia="Calibri"/>
          <w:sz w:val="28"/>
          <w:szCs w:val="28"/>
          <w:lang w:val="ru-RU"/>
        </w:rPr>
        <w:lastRenderedPageBreak/>
        <w:t>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w:t>
      </w:r>
      <w:r w:rsidRPr="0028124C">
        <w:rPr>
          <w:sz w:val="28"/>
          <w:szCs w:val="28"/>
        </w:rPr>
        <w:lastRenderedPageBreak/>
        <w:t>группировке и обратно (с помощью); перекаты из упора присев назад и боком.</w:t>
      </w:r>
      <w:r w:rsidRPr="0028124C">
        <w:rPr>
          <w:sz w:val="28"/>
          <w:szCs w:val="28"/>
        </w:rPr>
        <w:br/>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p>
    <w:p w:rsidR="00607E79" w:rsidRPr="0028124C" w:rsidRDefault="00607E79" w:rsidP="00F15F84">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lastRenderedPageBreak/>
        <w:t>«Альпинисты», «Змейка», «Не урони мешочек», «Петрушка на скамейке», «Пройди бесшумно», «Через холодный ручей» </w:t>
      </w:r>
      <w:bookmarkStart w:id="0" w:name="_ftnref2"/>
      <w:r w:rsidR="00B8540E" w:rsidRPr="0028124C">
        <w:rPr>
          <w:sz w:val="28"/>
          <w:szCs w:val="28"/>
        </w:rPr>
        <w:fldChar w:fldCharType="begin"/>
      </w:r>
      <w:r w:rsidRPr="0028124C">
        <w:rPr>
          <w:sz w:val="28"/>
          <w:szCs w:val="28"/>
        </w:rPr>
        <w:instrText xml:space="preserve"> HYPERLINK "http://www.prosv.ru/ebooks/Matveev_Fizra_1-4kl/1.html" \l "_ftn2" \o "" </w:instrText>
      </w:r>
      <w:r w:rsidR="00B8540E" w:rsidRPr="0028124C">
        <w:rPr>
          <w:sz w:val="28"/>
          <w:szCs w:val="28"/>
        </w:rPr>
        <w:fldChar w:fldCharType="separate"/>
      </w:r>
      <w:r w:rsidRPr="0028124C">
        <w:rPr>
          <w:rStyle w:val="aa"/>
          <w:sz w:val="28"/>
          <w:szCs w:val="28"/>
          <w:vertAlign w:val="superscript"/>
        </w:rPr>
        <w:t>2</w:t>
      </w:r>
      <w:r w:rsidR="00B8540E"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proofErr w:type="gramStart"/>
      <w:r w:rsidRPr="0028124C">
        <w:rPr>
          <w:rStyle w:val="a9"/>
          <w:b/>
          <w:i w:val="0"/>
          <w:sz w:val="28"/>
          <w:szCs w:val="28"/>
        </w:rPr>
        <w:t>:</w:t>
      </w:r>
      <w:r w:rsidRPr="0028124C">
        <w:rPr>
          <w:sz w:val="28"/>
          <w:szCs w:val="28"/>
        </w:rPr>
        <w:t>«</w:t>
      </w:r>
      <w:proofErr w:type="gramEnd"/>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1300"/>
        <w:gridCol w:w="1306"/>
        <w:gridCol w:w="1306"/>
        <w:gridCol w:w="1300"/>
        <w:gridCol w:w="1306"/>
        <w:gridCol w:w="1321"/>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w:t>
            </w:r>
            <w:r w:rsidRPr="0028124C">
              <w:rPr>
                <w:lang w:val="ru-RU"/>
              </w:rPr>
              <w:lastRenderedPageBreak/>
              <w:t xml:space="preserve">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w:t>
      </w:r>
      <w:r w:rsidRPr="0028124C">
        <w:rPr>
          <w:sz w:val="28"/>
          <w:szCs w:val="28"/>
        </w:rPr>
        <w:lastRenderedPageBreak/>
        <w:t xml:space="preserve">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lastRenderedPageBreak/>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lastRenderedPageBreak/>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lastRenderedPageBreak/>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sz w:val="28"/>
          <w:szCs w:val="28"/>
        </w:rPr>
        <w:t>«</w:t>
      </w:r>
      <w:proofErr w:type="gramEnd"/>
      <w:r w:rsidRPr="0028124C">
        <w:rPr>
          <w:sz w:val="28"/>
          <w:szCs w:val="28"/>
        </w:rPr>
        <w:t>Снайпер», «Караси и щуки», «мяч капитану», «Гонка мячей по кругу»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t>Общеразвивающие физические упражнения</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lastRenderedPageBreak/>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8"/>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Контрольные 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 xml:space="preserve">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w:t>
      </w:r>
      <w:r w:rsidRPr="0028124C">
        <w:rPr>
          <w:rStyle w:val="Zag11"/>
          <w:rFonts w:eastAsia="@Arial Unicode MS" w:cs="Calibri"/>
          <w:i/>
          <w:color w:val="000000"/>
          <w:sz w:val="28"/>
          <w:szCs w:val="28"/>
        </w:rPr>
        <w:lastRenderedPageBreak/>
        <w:t>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lastRenderedPageBreak/>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r w:rsidRPr="0028124C">
        <w:rPr>
          <w:sz w:val="28"/>
          <w:szCs w:val="28"/>
        </w:rPr>
        <w:br/>
      </w: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Гонка мячей по кругу», «Овладей мячом», « Мяч ловцу», «Охотники и утки», «Снайпер», «Мини- баскетбол», «Пионербол».</w:t>
      </w:r>
    </w:p>
    <w:p w:rsidR="00304221" w:rsidRPr="0028124C" w:rsidRDefault="00304221" w:rsidP="0028124C">
      <w:pPr>
        <w:pStyle w:val="a3"/>
        <w:spacing w:line="360" w:lineRule="auto"/>
        <w:rPr>
          <w:i/>
          <w:iCs/>
          <w:sz w:val="28"/>
          <w:szCs w:val="28"/>
        </w:rPr>
      </w:pPr>
      <w:r w:rsidRPr="0028124C">
        <w:rPr>
          <w:sz w:val="28"/>
          <w:szCs w:val="28"/>
        </w:rPr>
        <w:lastRenderedPageBreak/>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lastRenderedPageBreak/>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w:t>
      </w:r>
      <w:r w:rsidRPr="0028124C">
        <w:rPr>
          <w:sz w:val="28"/>
          <w:szCs w:val="28"/>
        </w:rPr>
        <w:lastRenderedPageBreak/>
        <w:t xml:space="preserve">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proofErr w:type="gramStart"/>
      <w:r w:rsidRPr="0028124C">
        <w:rPr>
          <w:i/>
          <w:sz w:val="28"/>
          <w:szCs w:val="28"/>
        </w:rPr>
        <w:t>:</w:t>
      </w:r>
      <w:r w:rsidRPr="0028124C">
        <w:rPr>
          <w:rStyle w:val="a9"/>
          <w:bCs/>
          <w:i w:val="0"/>
          <w:sz w:val="28"/>
          <w:szCs w:val="28"/>
        </w:rPr>
        <w:t>п</w:t>
      </w:r>
      <w:proofErr w:type="gramEnd"/>
      <w:r w:rsidRPr="0028124C">
        <w:rPr>
          <w:rStyle w:val="a9"/>
          <w:bCs/>
          <w:i w:val="0"/>
          <w:sz w:val="28"/>
          <w:szCs w:val="28"/>
        </w:rPr>
        <w:t xml:space="preserve">ередача и ловля мяча с ударом мяча в пол, ведение бегом по прямой, змейкой, на скорость, ведение-остановка прыжком, ведение-два шага-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lastRenderedPageBreak/>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Снайпер», «Гонка мячей по кругу», «Овладей мячом», « Мяч ловцу», «Охотники и утки», «Мини-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w:t>
      </w:r>
      <w:r w:rsidRPr="0028124C">
        <w:rPr>
          <w:sz w:val="28"/>
          <w:szCs w:val="28"/>
        </w:rPr>
        <w:lastRenderedPageBreak/>
        <w:t>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 xml:space="preserve">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w:t>
      </w:r>
      <w:r w:rsidRPr="0028124C">
        <w:rPr>
          <w:sz w:val="28"/>
          <w:szCs w:val="28"/>
        </w:rPr>
        <w:lastRenderedPageBreak/>
        <w:t>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lastRenderedPageBreak/>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FF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4D36"/>
    <w:rsid w:val="000F47AA"/>
    <w:rsid w:val="00123157"/>
    <w:rsid w:val="001667CA"/>
    <w:rsid w:val="001E259F"/>
    <w:rsid w:val="002560EA"/>
    <w:rsid w:val="00264875"/>
    <w:rsid w:val="0028124C"/>
    <w:rsid w:val="002C0FBE"/>
    <w:rsid w:val="00304221"/>
    <w:rsid w:val="00334E32"/>
    <w:rsid w:val="004C1067"/>
    <w:rsid w:val="00565B23"/>
    <w:rsid w:val="005D01D7"/>
    <w:rsid w:val="005E6082"/>
    <w:rsid w:val="00607E79"/>
    <w:rsid w:val="006265A7"/>
    <w:rsid w:val="00687939"/>
    <w:rsid w:val="006C29C3"/>
    <w:rsid w:val="006E0B2B"/>
    <w:rsid w:val="00746FEC"/>
    <w:rsid w:val="00755057"/>
    <w:rsid w:val="007A2042"/>
    <w:rsid w:val="007B644B"/>
    <w:rsid w:val="00811BA5"/>
    <w:rsid w:val="00A22B88"/>
    <w:rsid w:val="00A34670"/>
    <w:rsid w:val="00A40F1A"/>
    <w:rsid w:val="00B545D6"/>
    <w:rsid w:val="00B8540E"/>
    <w:rsid w:val="00BE738E"/>
    <w:rsid w:val="00C516C9"/>
    <w:rsid w:val="00C7227B"/>
    <w:rsid w:val="00C77FB7"/>
    <w:rsid w:val="00D16059"/>
    <w:rsid w:val="00D25467"/>
    <w:rsid w:val="00E36F58"/>
    <w:rsid w:val="00EB68D9"/>
    <w:rsid w:val="00F15F84"/>
    <w:rsid w:val="00F230DB"/>
    <w:rsid w:val="00F74C30"/>
    <w:rsid w:val="00FB4D36"/>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C53F-1116-46CF-9F29-8003EB72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41</Pages>
  <Words>8508</Words>
  <Characters>48497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Pik</cp:lastModifiedBy>
  <cp:revision>24</cp:revision>
  <dcterms:created xsi:type="dcterms:W3CDTF">2014-09-04T01:39:00Z</dcterms:created>
  <dcterms:modified xsi:type="dcterms:W3CDTF">2021-09-13T03:44:00Z</dcterms:modified>
</cp:coreProperties>
</file>