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83" w:rsidRDefault="009F1098" w:rsidP="009F1098">
      <w:pPr>
        <w:pageBreakBefore/>
        <w:spacing w:line="348" w:lineRule="auto"/>
        <w:ind w:left="-567"/>
        <w:jc w:val="center"/>
        <w:rPr>
          <w:b/>
        </w:rPr>
      </w:pPr>
      <w:r w:rsidRPr="009F1098">
        <w:rPr>
          <w:b/>
          <w:noProof/>
        </w:rPr>
        <w:drawing>
          <wp:inline distT="0" distB="0" distL="0" distR="0">
            <wp:extent cx="6884168" cy="9656466"/>
            <wp:effectExtent l="19050" t="0" r="0" b="0"/>
            <wp:docPr id="3" name="Рисунок 1" descr="C:\Рабстол\Родной язык 6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стол\Родной язык 6_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25" cy="965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E" w:rsidRPr="00706B40" w:rsidRDefault="00751A83" w:rsidP="004904EA">
      <w:pPr>
        <w:pageBreakBefore/>
        <w:spacing w:line="348" w:lineRule="auto"/>
        <w:jc w:val="both"/>
      </w:pPr>
      <w:r>
        <w:rPr>
          <w:b/>
        </w:rPr>
        <w:lastRenderedPageBreak/>
        <w:t xml:space="preserve">                                      Пояснительная          записка                                                                                                                       </w:t>
      </w:r>
      <w:r w:rsidR="00B94D6A" w:rsidRPr="00706B40">
        <w:rPr>
          <w:b/>
        </w:rPr>
        <w:t>Н</w:t>
      </w:r>
      <w:r w:rsidR="00712298" w:rsidRPr="00706B40">
        <w:rPr>
          <w:b/>
        </w:rPr>
        <w:t xml:space="preserve">ормативная правовая основа для разработки </w:t>
      </w:r>
      <w:r w:rsidR="00D63CAE" w:rsidRPr="00706B40">
        <w:rPr>
          <w:b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706B40">
        <w:t>: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12298">
        <w:t>Минобрнауки</w:t>
      </w:r>
      <w:proofErr w:type="spellEnd"/>
      <w:r w:rsidRPr="00712298">
        <w:t xml:space="preserve"> России от 31 декабря 2015 г. № 1577);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proofErr w:type="gramStart"/>
      <w:r w:rsidRPr="00712298"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712298">
        <w:t>образованияк</w:t>
      </w:r>
      <w:proofErr w:type="spellEnd"/>
      <w:r w:rsidRPr="00712298"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12298">
        <w:t>метапредметном</w:t>
      </w:r>
      <w:proofErr w:type="spellEnd"/>
      <w:r w:rsidRPr="00712298">
        <w:t xml:space="preserve"> и предметном уровнях, примерное содержание учебного предмета</w:t>
      </w:r>
      <w:proofErr w:type="gramStart"/>
      <w:r w:rsidRPr="00712298">
        <w:t>«Р</w:t>
      </w:r>
      <w:proofErr w:type="gramEnd"/>
      <w:r w:rsidRPr="00712298">
        <w:t>усский родной язык».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12298">
        <w:t>развития</w:t>
      </w:r>
      <w:proofErr w:type="gramEnd"/>
      <w:r w:rsidRPr="00712298">
        <w:t xml:space="preserve"> обучающихся средствами учебного предмета «Русский родной язык». </w:t>
      </w:r>
    </w:p>
    <w:p w:rsidR="00E55658" w:rsidRPr="0071229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D63CAE" w:rsidRPr="00712298" w:rsidRDefault="00D63CAE" w:rsidP="00E55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lastRenderedPageBreak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EA0BB9" w:rsidRDefault="00D63CAE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 xml:space="preserve">» предназначена для изучения в 5-9 классах и рассчитана на 17 часов.  </w:t>
      </w:r>
    </w:p>
    <w:p w:rsidR="00D63CAE" w:rsidRPr="00712298" w:rsidRDefault="00D63CAE" w:rsidP="00E55658">
      <w:pPr>
        <w:spacing w:line="360" w:lineRule="auto"/>
        <w:rPr>
          <w:b/>
          <w:bCs/>
          <w:i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</w:t>
      </w:r>
      <w:r w:rsidRPr="00712298">
        <w:lastRenderedPageBreak/>
        <w:t>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proofErr w:type="gramStart"/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</w:t>
      </w:r>
      <w:proofErr w:type="gramEnd"/>
      <w:r w:rsidRPr="00712298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«Русский родной язык» направлено на удовлетворение потребности </w:t>
      </w:r>
      <w:proofErr w:type="gramStart"/>
      <w:r w:rsidRPr="00712298">
        <w:t>обучающихся</w:t>
      </w:r>
      <w:proofErr w:type="gramEnd"/>
      <w:r w:rsidRPr="00712298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>к 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</w:t>
      </w:r>
      <w:proofErr w:type="gramStart"/>
      <w:r w:rsidRPr="00712298">
        <w:t>,о</w:t>
      </w:r>
      <w:proofErr w:type="spellEnd"/>
      <w:proofErr w:type="gram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</w:t>
      </w:r>
      <w:r w:rsidRPr="00712298">
        <w:lastRenderedPageBreak/>
        <w:t>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</w:t>
      </w:r>
      <w:r w:rsidRPr="00712298">
        <w:lastRenderedPageBreak/>
        <w:t>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12298" w:rsidRDefault="00D63CAE"/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</w:t>
      </w:r>
      <w:r w:rsidRPr="00712298">
        <w:rPr>
          <w:sz w:val="24"/>
          <w:szCs w:val="24"/>
        </w:rPr>
        <w:lastRenderedPageBreak/>
        <w:t>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2298">
        <w:rPr>
          <w:sz w:val="24"/>
          <w:szCs w:val="24"/>
        </w:rPr>
        <w:t>дств дл</w:t>
      </w:r>
      <w:proofErr w:type="gramEnd"/>
      <w:r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2298">
        <w:rPr>
          <w:sz w:val="24"/>
          <w:szCs w:val="24"/>
        </w:rPr>
        <w:t xml:space="preserve">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ш</w:t>
      </w:r>
      <w:proofErr w:type="spellEnd"/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proofErr w:type="gramStart"/>
      <w:r w:rsidRPr="00712298">
        <w:rPr>
          <w:i/>
          <w:sz w:val="24"/>
          <w:szCs w:val="24"/>
        </w:rPr>
        <w:t>чт</w:t>
      </w:r>
      <w:proofErr w:type="spellEnd"/>
      <w:proofErr w:type="gram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употребление синонимов, антонимов‚ омонимов с учётом стилистических вариантов </w:t>
      </w:r>
      <w:r w:rsidRPr="00712298">
        <w:rPr>
          <w:sz w:val="24"/>
          <w:szCs w:val="24"/>
        </w:rPr>
        <w:lastRenderedPageBreak/>
        <w:t>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</w:t>
      </w:r>
      <w:r w:rsidRPr="00712298">
        <w:rPr>
          <w:sz w:val="24"/>
          <w:szCs w:val="24"/>
        </w:rPr>
        <w:lastRenderedPageBreak/>
        <w:t xml:space="preserve">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 xml:space="preserve">; классифицировать фактический материал по определённому признаку; выделять наиболее существенные факты; устанавливать логическую связь </w:t>
      </w:r>
      <w:r w:rsidRPr="00712298">
        <w:rPr>
          <w:sz w:val="24"/>
          <w:szCs w:val="24"/>
        </w:rPr>
        <w:lastRenderedPageBreak/>
        <w:t>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sz w:val="24"/>
          <w:szCs w:val="24"/>
        </w:rPr>
        <w:t>подтекстовой</w:t>
      </w:r>
      <w:proofErr w:type="spellEnd"/>
      <w:r w:rsidRPr="00712298">
        <w:rPr>
          <w:sz w:val="24"/>
          <w:szCs w:val="24"/>
        </w:rPr>
        <w:t xml:space="preserve">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</w:t>
      </w:r>
      <w:r w:rsidRPr="00712298">
        <w:rPr>
          <w:sz w:val="24"/>
          <w:szCs w:val="24"/>
        </w:rPr>
        <w:lastRenderedPageBreak/>
        <w:t>чужой речи с точки зрения точного, уместного и выразительного словоупотребления;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90345F">
      <w:pPr>
        <w:spacing w:line="360" w:lineRule="auto"/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</w:t>
      </w:r>
      <w:r w:rsidRPr="00980A94">
        <w:rPr>
          <w:rStyle w:val="dash041e005f0431005f044b005f0447005f043d005f044b005f0439005f005fchar1char1"/>
        </w:rPr>
        <w:lastRenderedPageBreak/>
        <w:t>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определять обстоятельства, которые предшествовали возникновению связи между явлениями, </w:t>
      </w:r>
      <w:r w:rsidRPr="00980A94">
        <w:lastRenderedPageBreak/>
        <w:t>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lastRenderedPageBreak/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 xml:space="preserve">6) овладеть процедурами смыслового и эстетического анализа текста на основе понимания </w:t>
      </w:r>
      <w:r w:rsidRPr="00980A94">
        <w:rPr>
          <w:sz w:val="24"/>
          <w:szCs w:val="24"/>
        </w:rPr>
        <w:lastRenderedPageBreak/>
        <w:t>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lastRenderedPageBreak/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Рассказ о событии, «</w:t>
            </w:r>
            <w:proofErr w:type="gramStart"/>
            <w:r w:rsidRPr="00712298">
              <w:t>бывальщины</w:t>
            </w:r>
            <w:proofErr w:type="gramEnd"/>
            <w:r w:rsidRPr="00712298">
              <w:t>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Научное сообщение </w:t>
            </w:r>
            <w:proofErr w:type="gramStart"/>
            <w:r w:rsidRPr="00712298">
              <w:t xml:space="preserve">( </w:t>
            </w:r>
            <w:proofErr w:type="gramEnd"/>
            <w:r w:rsidRPr="00712298"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C32D07" w:rsidRPr="00712298" w:rsidTr="004164A9">
        <w:tc>
          <w:tcPr>
            <w:tcW w:w="534" w:type="dxa"/>
            <w:shd w:val="clear" w:color="auto" w:fill="auto"/>
          </w:tcPr>
          <w:p w:rsidR="00C32D07" w:rsidRDefault="00C32D07" w:rsidP="00976252">
            <w:pPr>
              <w:jc w:val="center"/>
            </w:pPr>
          </w:p>
          <w:p w:rsidR="00C32D07" w:rsidRDefault="00C32D07" w:rsidP="00976252">
            <w:pPr>
              <w:jc w:val="center"/>
            </w:pPr>
          </w:p>
          <w:p w:rsidR="00C32D07" w:rsidRPr="00712298" w:rsidRDefault="00C32D07" w:rsidP="00976252">
            <w:pPr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C32D07" w:rsidRPr="00712298" w:rsidRDefault="00C32D07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C32D07" w:rsidRPr="00712298" w:rsidRDefault="00C32D07" w:rsidP="00BA042D"/>
        </w:tc>
        <w:tc>
          <w:tcPr>
            <w:tcW w:w="991" w:type="dxa"/>
            <w:shd w:val="clear" w:color="auto" w:fill="auto"/>
          </w:tcPr>
          <w:p w:rsidR="00C32D07" w:rsidRPr="00712298" w:rsidRDefault="00C32D07" w:rsidP="00BA042D">
            <w:pPr>
              <w:jc w:val="center"/>
            </w:pPr>
          </w:p>
        </w:tc>
      </w:tr>
    </w:tbl>
    <w:p w:rsidR="00BA042D" w:rsidRPr="00712298" w:rsidRDefault="00BA042D" w:rsidP="00BA042D"/>
    <w:p w:rsidR="00BA042D" w:rsidRPr="00712298" w:rsidRDefault="000A640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 </w:t>
      </w:r>
    </w:p>
    <w:p w:rsidR="00FD7CBD" w:rsidRDefault="00FD7CBD" w:rsidP="004E4310">
      <w:pPr>
        <w:spacing w:line="360" w:lineRule="auto"/>
        <w:ind w:firstLine="709"/>
        <w:jc w:val="center"/>
        <w:rPr>
          <w:b/>
          <w:bCs/>
        </w:rPr>
      </w:pPr>
    </w:p>
    <w:p w:rsidR="00FD7CBD" w:rsidRDefault="00FD7CBD" w:rsidP="004E4310">
      <w:pPr>
        <w:spacing w:line="360" w:lineRule="auto"/>
        <w:ind w:firstLine="709"/>
        <w:jc w:val="center"/>
        <w:rPr>
          <w:b/>
          <w:bCs/>
        </w:rPr>
      </w:pPr>
    </w:p>
    <w:p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bookmarkStart w:id="5" w:name="_GoBack"/>
      <w:bookmarkEnd w:id="5"/>
      <w:r w:rsidRPr="004E4310">
        <w:rPr>
          <w:b/>
          <w:bCs/>
        </w:rPr>
        <w:lastRenderedPageBreak/>
        <w:t>Примерные темы проектных и исследовательских работ</w:t>
      </w:r>
    </w:p>
    <w:p w:rsidR="00C42BA0" w:rsidRPr="004E4310" w:rsidRDefault="004E4310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истории русских имён.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90345F" w:rsidRDefault="000A640B" w:rsidP="004E4310">
      <w:pPr>
        <w:rPr>
          <w:b/>
        </w:rPr>
      </w:pPr>
      <w:r>
        <w:rPr>
          <w:b/>
        </w:rPr>
        <w:t xml:space="preserve"> </w:t>
      </w:r>
    </w:p>
    <w:p w:rsidR="0007192C" w:rsidRPr="003B5578" w:rsidRDefault="000A640B" w:rsidP="000A640B">
      <w:pPr>
        <w:tabs>
          <w:tab w:val="left" w:pos="7410"/>
        </w:tabs>
        <w:ind w:right="273"/>
        <w:rPr>
          <w:b/>
        </w:rPr>
      </w:pPr>
      <w:r>
        <w:rPr>
          <w:b/>
        </w:rPr>
        <w:t xml:space="preserve">                       </w:t>
      </w:r>
      <w:r w:rsidR="0007192C" w:rsidRPr="003B5578">
        <w:rPr>
          <w:b/>
        </w:rPr>
        <w:t>УЧЕБНО-МЕТОДИЧЕСКОЕ ОБЕСПЕЧЕНИЕ</w:t>
      </w:r>
    </w:p>
    <w:p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</w:t>
      </w:r>
      <w:proofErr w:type="gramStart"/>
      <w:r w:rsidRPr="003B5578">
        <w:t>.К</w:t>
      </w:r>
      <w:proofErr w:type="gramEnd"/>
      <w:r w:rsidRPr="003B5578">
        <w:t>арточки-задания.-М.:Владос,2000.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:rsidR="0007192C" w:rsidRPr="003B5578" w:rsidRDefault="0007192C" w:rsidP="0007192C">
      <w:pPr>
        <w:ind w:left="426" w:right="273" w:hanging="426"/>
      </w:pPr>
      <w:r w:rsidRPr="003B5578">
        <w:t xml:space="preserve">      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07192C" w:rsidRPr="003B5578" w:rsidRDefault="0007192C" w:rsidP="0007192C">
      <w:pPr>
        <w:ind w:left="426" w:right="273"/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4904E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9A34C4"/>
    <w:multiLevelType w:val="hybridMultilevel"/>
    <w:tmpl w:val="F9D2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1002A"/>
    <w:rsid w:val="00022BEA"/>
    <w:rsid w:val="0003597C"/>
    <w:rsid w:val="000403C7"/>
    <w:rsid w:val="0007192C"/>
    <w:rsid w:val="000A640B"/>
    <w:rsid w:val="00104738"/>
    <w:rsid w:val="00141F03"/>
    <w:rsid w:val="00175D74"/>
    <w:rsid w:val="001930BB"/>
    <w:rsid w:val="001B5E8B"/>
    <w:rsid w:val="001F0857"/>
    <w:rsid w:val="00214FE9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04EA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51A83"/>
    <w:rsid w:val="007A3FCC"/>
    <w:rsid w:val="007B0191"/>
    <w:rsid w:val="007B47D7"/>
    <w:rsid w:val="007E5AE3"/>
    <w:rsid w:val="0083432E"/>
    <w:rsid w:val="0084425A"/>
    <w:rsid w:val="008B2A20"/>
    <w:rsid w:val="008B4C05"/>
    <w:rsid w:val="0090345F"/>
    <w:rsid w:val="00976252"/>
    <w:rsid w:val="00976EAC"/>
    <w:rsid w:val="009802DE"/>
    <w:rsid w:val="00980A6E"/>
    <w:rsid w:val="00980A94"/>
    <w:rsid w:val="009A02CF"/>
    <w:rsid w:val="009A4D2A"/>
    <w:rsid w:val="009D2A27"/>
    <w:rsid w:val="009F1098"/>
    <w:rsid w:val="00A351D7"/>
    <w:rsid w:val="00AD4C09"/>
    <w:rsid w:val="00B305B8"/>
    <w:rsid w:val="00B57445"/>
    <w:rsid w:val="00B67B2E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2D07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07457"/>
    <w:rsid w:val="00D5111B"/>
    <w:rsid w:val="00D61A62"/>
    <w:rsid w:val="00D63CAE"/>
    <w:rsid w:val="00D86DD5"/>
    <w:rsid w:val="00D9470B"/>
    <w:rsid w:val="00DC4D82"/>
    <w:rsid w:val="00DF23AE"/>
    <w:rsid w:val="00E00738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D7CBD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Balloon Text"/>
    <w:basedOn w:val="a"/>
    <w:link w:val="a9"/>
    <w:rsid w:val="001B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8339-A718-4B70-B4B5-B753464A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6107</Words>
  <Characters>47023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Teacher1</cp:lastModifiedBy>
  <cp:revision>2</cp:revision>
  <dcterms:created xsi:type="dcterms:W3CDTF">2021-09-22T08:46:00Z</dcterms:created>
  <dcterms:modified xsi:type="dcterms:W3CDTF">2021-09-22T08:46:00Z</dcterms:modified>
</cp:coreProperties>
</file>